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2F44" w14:textId="77777777" w:rsidR="003D0B9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</w:p>
    <w:p w14:paraId="5237FAED" w14:textId="77777777" w:rsidR="003D0B9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</w:p>
    <w:p w14:paraId="48A22AEB" w14:textId="104B2957" w:rsidR="003D0B9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  <w:r w:rsidRPr="00443720">
        <w:rPr>
          <w:rFonts w:cstheme="minorHAnsi"/>
          <w:b/>
          <w:bCs/>
          <w:color w:val="3254DE"/>
          <w:lang w:val="es-ES_tradnl"/>
        </w:rPr>
        <w:t xml:space="preserve">Del </w:t>
      </w:r>
      <w:hyperlink r:id="rId5" w:history="1">
        <w:r w:rsidRPr="00443720">
          <w:rPr>
            <w:rFonts w:cstheme="minorHAnsi"/>
            <w:b/>
            <w:bCs/>
            <w:color w:val="3254DE"/>
            <w:u w:val="single"/>
            <w:lang w:val="es-ES_tradnl"/>
          </w:rPr>
          <w:t>Plan de Acción por la Democracia</w:t>
        </w:r>
      </w:hyperlink>
      <w:r w:rsidRPr="003D0B92">
        <w:rPr>
          <w:rFonts w:cstheme="minorHAnsi"/>
          <w:color w:val="000000"/>
          <w:lang w:val="es-ES_tradnl"/>
        </w:rPr>
        <w:t xml:space="preserve"> (aprobado en septiembre de 2024), el Gobierno ha implantado principalmente la línea de ayudas económicas y se encuentra tramitando las reformas legislativas estructurales a través de un paquete de seis leyes, ya que la mayoría de los cambios normativos requieren su paso por las Cortes Generales. </w:t>
      </w:r>
    </w:p>
    <w:p w14:paraId="10555B88" w14:textId="77777777" w:rsidR="003D0B9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color w:val="000000"/>
          <w:lang w:val="es-ES_tradnl"/>
        </w:rPr>
        <w:t>A continuación, se detalla el grado de avance de las medidas más destacadas:</w:t>
      </w:r>
    </w:p>
    <w:p w14:paraId="35A521EF" w14:textId="27F30C72" w:rsidR="003D0B9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1. Medidas ya implantadas</w:t>
      </w:r>
      <w:r w:rsidRPr="003D0B92">
        <w:rPr>
          <w:rFonts w:cstheme="minorHAnsi"/>
          <w:b/>
          <w:bCs/>
          <w:color w:val="000000"/>
          <w:lang w:val="es-ES_tradnl"/>
        </w:rPr>
        <w:t>:</w:t>
      </w:r>
    </w:p>
    <w:p w14:paraId="1B13AA23" w14:textId="2E7DB770" w:rsidR="003D0B92" w:rsidRPr="003D0B92" w:rsidRDefault="003D0B92" w:rsidP="003D0B92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Ayudas a medios de comunicación:</w:t>
      </w:r>
      <w:r w:rsidRPr="003D0B92">
        <w:rPr>
          <w:rFonts w:cstheme="minorHAnsi"/>
          <w:color w:val="000000"/>
          <w:lang w:val="es-ES_tradnl"/>
        </w:rPr>
        <w:t xml:space="preserve"> Se ha ejecutado el paquete de 100 millones de euros en fondos europeos destinado a la digitalización y ciberseguridad de los medios de comunicación. </w:t>
      </w:r>
    </w:p>
    <w:p w14:paraId="5C72D229" w14:textId="32313334" w:rsidR="003D0B92" w:rsidRPr="003D0B92" w:rsidRDefault="003D0B92" w:rsidP="003D0B92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Reforma de la Ley de Secretos Oficiales:</w:t>
      </w:r>
      <w:r w:rsidRPr="003D0B92">
        <w:rPr>
          <w:rFonts w:cstheme="minorHAnsi"/>
          <w:color w:val="000000"/>
          <w:lang w:val="es-ES_tradnl"/>
        </w:rPr>
        <w:t xml:space="preserve"> Se ha impulsado la modificación de esta normativa, preconstitucional y heredada de 1968, para adaptarla a los estándares europeos. [</w:t>
      </w:r>
    </w:p>
    <w:p w14:paraId="3BF559BE" w14:textId="77777777" w:rsidR="003D0B9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2. Medidas en tramitación parlamentaria y proyectos de ley</w:t>
      </w:r>
    </w:p>
    <w:p w14:paraId="4E80A89C" w14:textId="248617CD" w:rsidR="003D0B9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color w:val="000000"/>
          <w:lang w:val="es-ES_tradnl"/>
        </w:rPr>
        <w:t>La gran mayoría de los anuncios dependen de la aprobación de normas que se debaten en el Congreso:</w:t>
      </w:r>
    </w:p>
    <w:p w14:paraId="38D159AA" w14:textId="474BD902" w:rsidR="003D0B92" w:rsidRPr="003D0B92" w:rsidRDefault="003D0B92" w:rsidP="003D0B9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Transparencia y publicidad institucional:</w:t>
      </w:r>
      <w:r w:rsidRPr="003D0B92">
        <w:rPr>
          <w:rFonts w:cstheme="minorHAnsi"/>
          <w:color w:val="000000"/>
          <w:lang w:val="es-ES_tradnl"/>
        </w:rPr>
        <w:t xml:space="preserve"> El diseño de una nueva ley para establecer límites objetivos a la financiación y publicidad institucional que reciben los medios de comunicación se mantiene como uno de los objetivos principales de la agenda legislativa. </w:t>
      </w:r>
    </w:p>
    <w:p w14:paraId="5269A54D" w14:textId="67367736" w:rsidR="003D0B92" w:rsidRPr="003D0B92" w:rsidRDefault="003D0B92" w:rsidP="003D0B9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Registro de medios:</w:t>
      </w:r>
      <w:r w:rsidRPr="003D0B92">
        <w:rPr>
          <w:rFonts w:cstheme="minorHAnsi"/>
          <w:color w:val="000000"/>
          <w:lang w:val="es-ES_tradnl"/>
        </w:rPr>
        <w:t xml:space="preserve"> La creación de un registro de medios de comunicación para transparentar sus cifras de audiencia, accionistas y fuentes de financiación privada y pública sigue su curso en el Parlamento. </w:t>
      </w:r>
    </w:p>
    <w:p w14:paraId="39F74CF2" w14:textId="2F884004" w:rsidR="003D0B92" w:rsidRPr="003D0B92" w:rsidRDefault="003D0B92" w:rsidP="003D0B9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Código Penal y Ley Mordaza:</w:t>
      </w:r>
      <w:r w:rsidRPr="003D0B92">
        <w:rPr>
          <w:rFonts w:cstheme="minorHAnsi"/>
          <w:color w:val="000000"/>
          <w:lang w:val="es-ES_tradnl"/>
        </w:rPr>
        <w:t xml:space="preserve"> Se está tramitando la reforma de artículos del Código Penal (como los delitos de injurias a la Corona o contra los sentimientos religiosos) y la modificación de la Ley de Seguridad Ciudadana (conocida como 'ley mordaza'). </w:t>
      </w:r>
    </w:p>
    <w:p w14:paraId="5F4FAED0" w14:textId="190C946D" w:rsidR="003D0B92" w:rsidRPr="003D0B92" w:rsidRDefault="003D0B92" w:rsidP="003D0B9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b/>
          <w:bCs/>
          <w:color w:val="000000"/>
          <w:lang w:val="es-ES_tradnl"/>
        </w:rPr>
        <w:t>Leyes electorales y de gobierno abierto:</w:t>
      </w:r>
      <w:r w:rsidRPr="003D0B92">
        <w:rPr>
          <w:rFonts w:cstheme="minorHAnsi"/>
          <w:color w:val="000000"/>
          <w:lang w:val="es-ES_tradnl"/>
        </w:rPr>
        <w:t xml:space="preserve"> Se prevén cambios en la ley electoral para hacer obligatorios los debates, así como la nueva </w:t>
      </w:r>
      <w:r w:rsidRPr="003D0B92">
        <w:rPr>
          <w:rFonts w:cstheme="minorHAnsi"/>
          <w:b/>
          <w:bCs/>
          <w:color w:val="000000"/>
          <w:lang w:val="es-ES_tradnl"/>
        </w:rPr>
        <w:t>Ley de Administración Abierta</w:t>
      </w:r>
      <w:r w:rsidRPr="003D0B92">
        <w:rPr>
          <w:rFonts w:cstheme="minorHAnsi"/>
          <w:color w:val="000000"/>
          <w:lang w:val="es-ES_tradnl"/>
        </w:rPr>
        <w:t xml:space="preserve"> y la Estrategia Nacional de Gobierno Abierto. </w:t>
      </w:r>
    </w:p>
    <w:p w14:paraId="0665B5E1" w14:textId="2E94BB3E" w:rsidR="00F77F82" w:rsidRPr="003D0B92" w:rsidRDefault="003D0B92" w:rsidP="003D0B92">
      <w:pPr>
        <w:autoSpaceDE w:val="0"/>
        <w:autoSpaceDN w:val="0"/>
        <w:adjustRightInd w:val="0"/>
        <w:spacing w:line="276" w:lineRule="auto"/>
        <w:ind w:left="0" w:firstLine="0"/>
        <w:rPr>
          <w:rFonts w:cstheme="minorHAnsi"/>
          <w:color w:val="000000"/>
          <w:lang w:val="es-ES_tradnl"/>
        </w:rPr>
      </w:pPr>
      <w:r w:rsidRPr="003D0B92">
        <w:rPr>
          <w:rFonts w:cstheme="minorHAnsi"/>
          <w:color w:val="000000"/>
          <w:lang w:val="es-ES_tradnl"/>
        </w:rPr>
        <w:t xml:space="preserve">El desarrollo y materialización del plan está condicionado a los acuerdos parlamentarios del Ejecutivo con los distintos grupos en el Congreso. Para seguir el estado de tramitación oficial de estas iniciativas, puedes consultar el </w:t>
      </w:r>
      <w:hyperlink r:id="rId6" w:history="1">
        <w:r w:rsidRPr="003D0B92">
          <w:rPr>
            <w:rFonts w:cstheme="minorHAnsi"/>
            <w:color w:val="0000E9"/>
            <w:u w:val="single" w:color="0000E9"/>
            <w:lang w:val="es-ES_tradnl"/>
          </w:rPr>
          <w:t>Portal de Transparencia del Gobierno de España</w:t>
        </w:r>
      </w:hyperlink>
      <w:r w:rsidRPr="003D0B92">
        <w:rPr>
          <w:rFonts w:cstheme="minorHAnsi"/>
          <w:color w:val="000000"/>
          <w:lang w:val="es-ES_tradnl"/>
        </w:rPr>
        <w:t xml:space="preserve"> o el calendario legislativo del </w:t>
      </w:r>
      <w:hyperlink r:id="rId7" w:history="1">
        <w:r w:rsidRPr="003D0B92">
          <w:rPr>
            <w:rFonts w:cstheme="minorHAnsi"/>
            <w:color w:val="0000E9"/>
            <w:u w:val="single" w:color="0000E9"/>
            <w:lang w:val="es-ES_tradnl"/>
          </w:rPr>
          <w:t>Congreso de los Diputados</w:t>
        </w:r>
      </w:hyperlink>
      <w:r w:rsidRPr="003D0B92">
        <w:rPr>
          <w:rFonts w:cstheme="minorHAnsi"/>
          <w:color w:val="000000"/>
          <w:lang w:val="es-ES_tradnl"/>
        </w:rPr>
        <w:t xml:space="preserve">. </w:t>
      </w:r>
    </w:p>
    <w:sectPr w:rsidR="00F77F82" w:rsidRPr="003D0B92" w:rsidSect="000F52C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3121924">
    <w:abstractNumId w:val="0"/>
  </w:num>
  <w:num w:numId="2" w16cid:durableId="774441636">
    <w:abstractNumId w:val="1"/>
  </w:num>
  <w:num w:numId="3" w16cid:durableId="173037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2"/>
    <w:rsid w:val="001525DB"/>
    <w:rsid w:val="003D0B92"/>
    <w:rsid w:val="00443720"/>
    <w:rsid w:val="00895D9C"/>
    <w:rsid w:val="00A85508"/>
    <w:rsid w:val="00BE3470"/>
    <w:rsid w:val="00F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38903"/>
  <w15:chartTrackingRefBased/>
  <w15:docId w15:val="{3ACFF2A7-5639-5D48-B250-6E76E243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A85508"/>
    <w:rPr>
      <w:rFonts w:asciiTheme="minorHAnsi" w:hAnsiTheme="minorHAnsi"/>
      <w:sz w:val="20"/>
    </w:rPr>
  </w:style>
  <w:style w:type="paragraph" w:customStyle="1" w:styleId="Estilo13">
    <w:name w:val="Estilo13"/>
    <w:basedOn w:val="Normal"/>
    <w:autoRedefine/>
    <w:qFormat/>
    <w:rsid w:val="001525DB"/>
    <w:pPr>
      <w:tabs>
        <w:tab w:val="left" w:pos="220"/>
        <w:tab w:val="left" w:pos="678"/>
      </w:tabs>
      <w:autoSpaceDE w:val="0"/>
      <w:autoSpaceDN w:val="0"/>
      <w:adjustRightInd w:val="0"/>
      <w:spacing w:line="360" w:lineRule="auto"/>
      <w:ind w:left="0" w:firstLine="0"/>
      <w:jc w:val="left"/>
    </w:pPr>
    <w:rPr>
      <w:rFonts w:ascii="Times New Roman" w:hAnsi="Times New Roman" w:cstheme="minorHAnsi"/>
      <w:sz w:val="20"/>
      <w:szCs w:val="18"/>
      <w:lang w:eastAsia="es-ES_tradnl"/>
    </w:rPr>
  </w:style>
  <w:style w:type="character" w:styleId="Refdenotaalpie">
    <w:name w:val="footnote reference"/>
    <w:basedOn w:val="Fuentedeprrafopredeter"/>
    <w:uiPriority w:val="99"/>
    <w:unhideWhenUsed/>
    <w:qFormat/>
    <w:rsid w:val="001525DB"/>
    <w:rPr>
      <w:rFonts w:ascii="Times New Roman" w:hAnsi="Times New Roman" w:cs="Times New Roman"/>
      <w:color w:val="0D0D0D" w:themeColor="text1" w:themeTint="F2"/>
      <w:sz w:val="20"/>
      <w:bdr w:val="none" w:sz="0" w:space="0" w:color="auto"/>
      <w:vertAlign w:val="superscript"/>
    </w:rPr>
  </w:style>
  <w:style w:type="paragraph" w:customStyle="1" w:styleId="Estilo17">
    <w:name w:val="Estilo17"/>
    <w:basedOn w:val="Normal"/>
    <w:autoRedefine/>
    <w:qFormat/>
    <w:rsid w:val="001525DB"/>
    <w:pPr>
      <w:spacing w:line="360" w:lineRule="auto"/>
      <w:ind w:left="0" w:firstLine="0"/>
    </w:pPr>
    <w:rPr>
      <w:rFonts w:ascii="Times New Roman" w:hAnsi="Times New Roman" w:cstheme="minorHAnsi"/>
      <w:color w:val="0D0D0D" w:themeColor="text1" w:themeTint="F2"/>
      <w:sz w:val="20"/>
      <w:szCs w:val="18"/>
      <w:lang w:eastAsia="es-ES_tradnl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895D9C"/>
    <w:pPr>
      <w:spacing w:line="360" w:lineRule="auto"/>
      <w:ind w:left="0" w:firstLine="0"/>
      <w:contextualSpacing/>
    </w:pPr>
    <w:rPr>
      <w:rFonts w:ascii="Times New Roman" w:hAnsi="Times New Roman" w:cs="Times New Roman"/>
      <w:color w:val="0D0D0D" w:themeColor="text1" w:themeTint="F2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5D9C"/>
    <w:rPr>
      <w:rFonts w:ascii="Times New Roman" w:hAnsi="Times New Roman" w:cs="Times New Roman"/>
      <w:color w:val="0D0D0D" w:themeColor="text1" w:themeTint="F2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greso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parencia.gob.es/" TargetMode="External"/><Relationship Id="rId5" Type="http://schemas.openxmlformats.org/officeDocument/2006/relationships/hyperlink" Target="https://elpais.com/espana/2024-09-17/el-plan-de-regeneracion-del-gobierno-impone-mayor-control-sobre-cargos-publicos-y-una-comision-en-el-congreso-sobre-bulo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CARRERA ORTIZ</dc:creator>
  <cp:keywords/>
  <dc:description/>
  <cp:lastModifiedBy>CARLOS CARRERA ORTIZ</cp:lastModifiedBy>
  <cp:revision>2</cp:revision>
  <dcterms:created xsi:type="dcterms:W3CDTF">2026-06-20T10:28:00Z</dcterms:created>
  <dcterms:modified xsi:type="dcterms:W3CDTF">2026-06-20T10:39:00Z</dcterms:modified>
</cp:coreProperties>
</file>